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C23" w:rsidRPr="00490C2A" w:rsidRDefault="00523C23" w:rsidP="00523C23">
      <w:pPr>
        <w:pStyle w:val="1"/>
        <w:jc w:val="center"/>
      </w:pPr>
      <w:r w:rsidRPr="00490C2A">
        <w:rPr>
          <w:rFonts w:hint="eastAsia"/>
        </w:rPr>
        <w:t>学术墙报安排</w:t>
      </w:r>
    </w:p>
    <w:p w:rsidR="00741B71" w:rsidRDefault="00523C23">
      <w:pPr>
        <w:rPr>
          <w:b/>
          <w:sz w:val="24"/>
        </w:rPr>
      </w:pPr>
      <w:r w:rsidRPr="00490C2A">
        <w:rPr>
          <w:rFonts w:hint="eastAsia"/>
          <w:b/>
          <w:sz w:val="24"/>
        </w:rPr>
        <w:t>时间：</w:t>
      </w:r>
      <w:r w:rsidRPr="00490C2A">
        <w:rPr>
          <w:b/>
          <w:sz w:val="24"/>
        </w:rPr>
        <w:t>10</w:t>
      </w:r>
      <w:r w:rsidRPr="00490C2A">
        <w:rPr>
          <w:rFonts w:hint="eastAsia"/>
          <w:b/>
          <w:sz w:val="24"/>
        </w:rPr>
        <w:t>月</w:t>
      </w:r>
      <w:r>
        <w:rPr>
          <w:b/>
          <w:sz w:val="24"/>
        </w:rPr>
        <w:t>2</w:t>
      </w:r>
      <w:r>
        <w:rPr>
          <w:b/>
          <w:sz w:val="24"/>
        </w:rPr>
        <w:t>4</w:t>
      </w:r>
      <w:r w:rsidRPr="00490C2A">
        <w:rPr>
          <w:rFonts w:hint="eastAsia"/>
          <w:b/>
          <w:sz w:val="24"/>
        </w:rPr>
        <w:t>、</w:t>
      </w:r>
      <w:r w:rsidRPr="00490C2A">
        <w:rPr>
          <w:b/>
          <w:sz w:val="24"/>
        </w:rPr>
        <w:t>2</w:t>
      </w:r>
      <w:r>
        <w:rPr>
          <w:b/>
          <w:sz w:val="24"/>
        </w:rPr>
        <w:t>5</w:t>
      </w:r>
      <w:r w:rsidRPr="00490C2A">
        <w:rPr>
          <w:rFonts w:hint="eastAsia"/>
          <w:b/>
          <w:sz w:val="24"/>
        </w:rPr>
        <w:t>日中午</w:t>
      </w:r>
    </w:p>
    <w:p w:rsidR="00523C23" w:rsidRDefault="00523C23">
      <w:pPr>
        <w:rPr>
          <w:b/>
          <w:sz w:val="24"/>
        </w:rPr>
      </w:pPr>
      <w:r>
        <w:rPr>
          <w:rFonts w:hint="eastAsia"/>
          <w:b/>
          <w:sz w:val="24"/>
        </w:rPr>
        <w:t>地点：云南海埂会堂</w:t>
      </w:r>
    </w:p>
    <w:tbl>
      <w:tblPr>
        <w:tblW w:w="0" w:type="auto"/>
        <w:tblInd w:w="-10" w:type="dxa"/>
        <w:tblLook w:val="04A0" w:firstRow="1" w:lastRow="0" w:firstColumn="1" w:lastColumn="0" w:noHBand="0" w:noVBand="1"/>
      </w:tblPr>
      <w:tblGrid>
        <w:gridCol w:w="993"/>
        <w:gridCol w:w="4677"/>
        <w:gridCol w:w="975"/>
        <w:gridCol w:w="1651"/>
      </w:tblGrid>
      <w:tr w:rsidR="00523C23" w:rsidRPr="00523C23" w:rsidTr="00381F49">
        <w:trPr>
          <w:trHeight w:val="600"/>
        </w:trPr>
        <w:tc>
          <w:tcPr>
            <w:tcW w:w="993"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523C23" w:rsidRPr="00523C23" w:rsidRDefault="00523C23" w:rsidP="00523C23">
            <w:pPr>
              <w:widowControl/>
              <w:jc w:val="center"/>
              <w:rPr>
                <w:rFonts w:ascii="等线" w:eastAsia="等线" w:hAnsi="等线" w:cs="Arial"/>
                <w:b/>
                <w:bCs/>
                <w:color w:val="000000"/>
                <w:kern w:val="0"/>
                <w:szCs w:val="21"/>
              </w:rPr>
            </w:pPr>
            <w:r w:rsidRPr="00523C23">
              <w:rPr>
                <w:rFonts w:ascii="等线" w:eastAsia="等线" w:hAnsi="等线" w:cs="Arial" w:hint="eastAsia"/>
                <w:b/>
                <w:bCs/>
                <w:color w:val="000000"/>
                <w:kern w:val="0"/>
                <w:szCs w:val="21"/>
              </w:rPr>
              <w:t>编 号</w:t>
            </w:r>
          </w:p>
        </w:tc>
        <w:tc>
          <w:tcPr>
            <w:tcW w:w="4677" w:type="dxa"/>
            <w:tcBorders>
              <w:top w:val="single" w:sz="8" w:space="0" w:color="000000"/>
              <w:left w:val="nil"/>
              <w:bottom w:val="single" w:sz="8" w:space="0" w:color="000000"/>
              <w:right w:val="single" w:sz="8" w:space="0" w:color="000000"/>
            </w:tcBorders>
            <w:shd w:val="clear" w:color="auto" w:fill="auto"/>
            <w:noWrap/>
            <w:vAlign w:val="center"/>
            <w:hideMark/>
          </w:tcPr>
          <w:p w:rsidR="00523C23" w:rsidRPr="00523C23" w:rsidRDefault="00523C23" w:rsidP="00523C23">
            <w:pPr>
              <w:widowControl/>
              <w:jc w:val="center"/>
              <w:rPr>
                <w:rFonts w:ascii="等线" w:eastAsia="等线" w:hAnsi="等线" w:cs="Arial" w:hint="eastAsia"/>
                <w:b/>
                <w:bCs/>
                <w:color w:val="000000"/>
                <w:kern w:val="0"/>
                <w:szCs w:val="21"/>
              </w:rPr>
            </w:pPr>
            <w:r w:rsidRPr="00523C23">
              <w:rPr>
                <w:rFonts w:ascii="等线" w:eastAsia="等线" w:hAnsi="等线" w:cs="Arial" w:hint="eastAsia"/>
                <w:b/>
                <w:bCs/>
                <w:color w:val="000000"/>
                <w:kern w:val="0"/>
                <w:szCs w:val="21"/>
              </w:rPr>
              <w:t>墙报题目</w:t>
            </w:r>
          </w:p>
        </w:tc>
        <w:tc>
          <w:tcPr>
            <w:tcW w:w="975" w:type="dxa"/>
            <w:tcBorders>
              <w:top w:val="single" w:sz="8" w:space="0" w:color="000000"/>
              <w:left w:val="nil"/>
              <w:bottom w:val="single" w:sz="8" w:space="0" w:color="000000"/>
              <w:right w:val="single" w:sz="8" w:space="0" w:color="000000"/>
            </w:tcBorders>
            <w:shd w:val="clear" w:color="auto" w:fill="auto"/>
            <w:noWrap/>
            <w:vAlign w:val="center"/>
            <w:hideMark/>
          </w:tcPr>
          <w:p w:rsidR="00523C23" w:rsidRPr="00523C23" w:rsidRDefault="00523C23" w:rsidP="00523C23">
            <w:pPr>
              <w:widowControl/>
              <w:jc w:val="center"/>
              <w:rPr>
                <w:rFonts w:ascii="等线" w:eastAsia="等线" w:hAnsi="等线" w:cs="Arial" w:hint="eastAsia"/>
                <w:b/>
                <w:bCs/>
                <w:color w:val="000000"/>
                <w:kern w:val="0"/>
                <w:szCs w:val="21"/>
              </w:rPr>
            </w:pPr>
            <w:r w:rsidRPr="00523C23">
              <w:rPr>
                <w:rFonts w:ascii="等线" w:eastAsia="等线" w:hAnsi="等线" w:cs="Arial" w:hint="eastAsia"/>
                <w:b/>
                <w:bCs/>
                <w:color w:val="000000"/>
                <w:kern w:val="0"/>
                <w:szCs w:val="21"/>
              </w:rPr>
              <w:t>作 者</w:t>
            </w:r>
          </w:p>
        </w:tc>
        <w:tc>
          <w:tcPr>
            <w:tcW w:w="0" w:type="auto"/>
            <w:tcBorders>
              <w:top w:val="single" w:sz="8" w:space="0" w:color="000000"/>
              <w:left w:val="nil"/>
              <w:bottom w:val="single" w:sz="8" w:space="0" w:color="000000"/>
              <w:right w:val="single" w:sz="8" w:space="0" w:color="000000"/>
            </w:tcBorders>
            <w:shd w:val="clear" w:color="auto" w:fill="auto"/>
            <w:noWrap/>
            <w:vAlign w:val="center"/>
            <w:hideMark/>
          </w:tcPr>
          <w:p w:rsidR="00523C23" w:rsidRPr="00523C23" w:rsidRDefault="00523C23" w:rsidP="00523C23">
            <w:pPr>
              <w:widowControl/>
              <w:jc w:val="center"/>
              <w:rPr>
                <w:rFonts w:ascii="等线" w:eastAsia="等线" w:hAnsi="等线" w:cs="Arial" w:hint="eastAsia"/>
                <w:b/>
                <w:bCs/>
                <w:color w:val="000000"/>
                <w:kern w:val="0"/>
                <w:szCs w:val="21"/>
              </w:rPr>
            </w:pPr>
            <w:r w:rsidRPr="00523C23">
              <w:rPr>
                <w:rFonts w:ascii="等线" w:eastAsia="等线" w:hAnsi="等线" w:cs="Arial" w:hint="eastAsia"/>
                <w:b/>
                <w:bCs/>
                <w:color w:val="000000"/>
                <w:kern w:val="0"/>
                <w:szCs w:val="21"/>
              </w:rPr>
              <w:t>单 位</w:t>
            </w:r>
          </w:p>
        </w:tc>
      </w:tr>
      <w:tr w:rsidR="00381F49" w:rsidRPr="00523C23" w:rsidTr="00381F49">
        <w:trPr>
          <w:trHeight w:val="600"/>
        </w:trPr>
        <w:tc>
          <w:tcPr>
            <w:tcW w:w="993"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S02-01</w:t>
            </w:r>
          </w:p>
        </w:tc>
        <w:tc>
          <w:tcPr>
            <w:tcW w:w="4677" w:type="dxa"/>
            <w:tcBorders>
              <w:top w:val="single" w:sz="4" w:space="0" w:color="000000"/>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降水主导的黄土高原柠条死亡及其阈值响应</w:t>
            </w:r>
          </w:p>
        </w:tc>
        <w:tc>
          <w:tcPr>
            <w:tcW w:w="975" w:type="dxa"/>
            <w:tcBorders>
              <w:top w:val="single" w:sz="4" w:space="0" w:color="000000"/>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牟梦宇</w:t>
            </w:r>
          </w:p>
        </w:tc>
        <w:tc>
          <w:tcPr>
            <w:tcW w:w="0" w:type="auto"/>
            <w:tcBorders>
              <w:top w:val="single" w:sz="4" w:space="0" w:color="000000"/>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阿拉善盟林业和草原保护站</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基于水量平衡视角的旱区灌木种植可行性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刘彤彤</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阿拉善盟林业和草原保护站</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八年氮输入后并未显著改变内蒙古荒漠草原自养和异养呼吸</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姚显</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中国科学院西北生态环境资源研究院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 xml:space="preserve">宁夏中部干旱带荒漠草原退化过程中植被、土壤及微生物群落的协同变化特征 </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任轶昊</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不同放牧时间对荒漠草原生长季土壤碳排放的影响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罗俊盛</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381F49"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季节性放牧对荒漠草原植物与土壤C、N、P计量特征的影响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罗英</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暖季放牧通过增加荒漠草原植物群落的异步性，从而增强了其稳定性，其中春夏放牧所产生的影响最为显著</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黄业芸</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S02-08</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增温对荒漠草原灌丛化过程中植物水分利用策略的影响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刘佳原</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S02-09</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Spatiotemporal patterns and driving forces of dust weather events in Central Asia from 2000 to 2020</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刘雨晗</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S02-10</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生物沙障恢复初期重塑高寒沙地土壤粒径组成、碳氮磷化学计量及微生物胞外酶分配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李纪昀</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S02-11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遮光模拟坡向光照对草原植物群落结构功能的影响及优化潜力研究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赵玉婷</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S02-12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土壤含水量和早春伴生植物密度是新疆阿魏种群恢复的关键限制因子</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包娴</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石河子大学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S02-13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Effects of Different Stocking Rates on Dietary Composition and Foraging Preference of Livestock in Desert Steppe</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安欣欣</w:t>
            </w:r>
          </w:p>
        </w:tc>
        <w:tc>
          <w:tcPr>
            <w:tcW w:w="0" w:type="auto"/>
            <w:tcBorders>
              <w:top w:val="nil"/>
              <w:left w:val="nil"/>
              <w:bottom w:val="single" w:sz="4" w:space="0" w:color="000000"/>
              <w:right w:val="single" w:sz="4" w:space="0" w:color="000000"/>
            </w:tcBorders>
            <w:shd w:val="clear" w:color="000000" w:fill="FFFFFF"/>
            <w:vAlign w:val="center"/>
            <w:hideMark/>
          </w:tcPr>
          <w:p w:rsidR="00381F49"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S02-14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 GRACE 降尺度的乌兰布和地区地下水储量变化</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安宁</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S03-01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雅鲁藏布江多环芳烃季节分异特征、源解析及风险评估</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381F49" w:rsidP="00381F49">
            <w:pPr>
              <w:widowControl/>
              <w:jc w:val="center"/>
              <w:rPr>
                <w:rFonts w:asciiTheme="minorEastAsia" w:hAnsiTheme="minorEastAsia" w:cs="宋体" w:hint="eastAsia"/>
                <w:color w:val="000000"/>
                <w:kern w:val="0"/>
                <w:szCs w:val="21"/>
              </w:rPr>
            </w:pPr>
            <w:r w:rsidRPr="00381F49">
              <w:rPr>
                <w:rFonts w:asciiTheme="minorEastAsia" w:hAnsiTheme="minorEastAsia" w:cs="宋体"/>
                <w:color w:val="000000"/>
                <w:kern w:val="0"/>
                <w:szCs w:val="21"/>
              </w:rPr>
              <w:t>马文敏</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中国地质大学（北京）</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S03-02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南水北调东线典型调蓄湖库的多营养级食物网结构与生态系统特征研究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杨乐然</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河海大学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S03-03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基于遥感反演与区域化方法的资料稀缺山区河流流量时间序列估算</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阿迪来·乌甫</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新疆农业大学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S04-01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微气候交互下街道视觉与水平绿化对PM</w:t>
            </w:r>
            <w:r w:rsidRPr="00523C23">
              <w:rPr>
                <w:rFonts w:asciiTheme="minorEastAsia" w:hAnsiTheme="minorEastAsia" w:cs="宋体" w:hint="eastAsia"/>
                <w:color w:val="000000"/>
                <w:kern w:val="0"/>
                <w:szCs w:val="21"/>
                <w:vertAlign w:val="subscript"/>
              </w:rPr>
              <w:t>2.5</w:t>
            </w:r>
            <w:r w:rsidRPr="00523C23">
              <w:rPr>
                <w:rFonts w:asciiTheme="minorEastAsia" w:hAnsiTheme="minorEastAsia" w:cs="宋体" w:hint="eastAsia"/>
                <w:color w:val="000000"/>
                <w:kern w:val="0"/>
                <w:szCs w:val="21"/>
              </w:rPr>
              <w:t>的差异化调控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江敏</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中国矿业大学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S04-02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城市灯光污染格局及其与城市规模关系研究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盛瀚澜</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S05-01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迈向气候弹性保护以实现生物多样性和生态系统服务的协同优化</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郝蕴祺</w:t>
            </w:r>
          </w:p>
        </w:tc>
        <w:tc>
          <w:tcPr>
            <w:tcW w:w="0" w:type="auto"/>
            <w:tcBorders>
              <w:top w:val="nil"/>
              <w:left w:val="nil"/>
              <w:bottom w:val="single" w:sz="4" w:space="0" w:color="000000"/>
              <w:right w:val="single" w:sz="4" w:space="0" w:color="000000"/>
            </w:tcBorders>
            <w:shd w:val="clear" w:color="000000" w:fill="FFFFFF"/>
            <w:vAlign w:val="center"/>
            <w:hideMark/>
          </w:tcPr>
          <w:p w:rsidR="00381F49"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中国科学院生态环境研究</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S05-02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社区参与式治理能否有效缓解人熊冲突？ ——三江源地区五年干预实践的案例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李全邦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中国科学院西北高原生物研究所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S06-01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森林生态系统养分回收过程的动态参数化</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华朗钦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南京信息工程大学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S06-02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基于全球Meta分析——放牧，气候因子及草地类型互作对草地风蚀的影响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上官怡芊</w:t>
            </w:r>
          </w:p>
        </w:tc>
        <w:tc>
          <w:tcPr>
            <w:tcW w:w="0" w:type="auto"/>
            <w:tcBorders>
              <w:top w:val="nil"/>
              <w:left w:val="nil"/>
              <w:bottom w:val="single" w:sz="4" w:space="0" w:color="000000"/>
              <w:right w:val="single" w:sz="4" w:space="0" w:color="000000"/>
            </w:tcBorders>
            <w:shd w:val="clear" w:color="000000" w:fill="FFFFFF"/>
            <w:vAlign w:val="center"/>
            <w:hideMark/>
          </w:tcPr>
          <w:p w:rsidR="00381F49"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多源数据融合的省域生态系统有机—无机碳收支评估——以宁夏为例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于朝阳</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宁夏回族自治区地球物理地球化学调查院（自治区深地探测中心）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植被结构增绿主导京津冀城市群总初级生产力的长期提升</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张响玲</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北京浅山区油松人工林蒸腾降温效应的环境驱动及高温调控机制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高瑶</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北京市30 m日尺度总初级生产力数据集构建及其时空特征</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卢奕妃</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生态系统监测数据的实践应用之探索</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占杨英</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中国陆地氮磷收支格局及其动态演变研究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范仁雪</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中科院地理所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基于伪干混合比方法的开路涡度协方差甲烷通量观测研究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沈伟豪</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宁波海尔欣光电科技有限公司</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S07-08</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全球草地生态系统氮固持格局对氮输入增加的响应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林权虹</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中国科学院地理科学与资源研究所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S07-09</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陆地生态系统不同生态位生物固氮的环境调控分异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陈燕然</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中国科学院地理科学与资源研究所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S07-10</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Response of Nutrient Absorption in Forage Oat to Soil Types and Water-Fertilizer Management in the Agro-Pastoral Ecotone</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严佳乐</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中国农业科学院草原所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S07-11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模拟增温和氮沉降对荒漠草原植硅体碳含量的影响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李赵龙</w:t>
            </w:r>
          </w:p>
        </w:tc>
        <w:tc>
          <w:tcPr>
            <w:tcW w:w="0" w:type="auto"/>
            <w:tcBorders>
              <w:top w:val="nil"/>
              <w:left w:val="nil"/>
              <w:bottom w:val="single" w:sz="4" w:space="0" w:color="000000"/>
              <w:right w:val="single" w:sz="4" w:space="0" w:color="000000"/>
            </w:tcBorders>
            <w:shd w:val="clear" w:color="000000" w:fill="FFFFFF"/>
            <w:vAlign w:val="center"/>
            <w:hideMark/>
          </w:tcPr>
          <w:p w:rsidR="00756663"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S07-12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不同放牧强度与土壤深度对荒漠草原土壤微生物残体碳的影响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米雪</w:t>
            </w:r>
          </w:p>
        </w:tc>
        <w:tc>
          <w:tcPr>
            <w:tcW w:w="0" w:type="auto"/>
            <w:tcBorders>
              <w:top w:val="nil"/>
              <w:left w:val="nil"/>
              <w:bottom w:val="single" w:sz="4" w:space="0" w:color="000000"/>
              <w:right w:val="single" w:sz="4" w:space="0" w:color="000000"/>
            </w:tcBorders>
            <w:shd w:val="clear" w:color="000000" w:fill="FFFFFF"/>
            <w:vAlign w:val="center"/>
            <w:hideMark/>
          </w:tcPr>
          <w:p w:rsidR="00756663"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S07-13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气候与土壤对全球叶片δ13C的控制及其在不同光合途径间的分异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吴莉霞</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756663">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中南林业科技大学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S07-14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全球土壤呼吸格局及其气候驱动的因果效应解析</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于福波</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中国科学院地理科学与资源研究所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S09-01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茴香菖蒲对锈赤扁谷盗的熏蒸效果与作用机制研究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徐葛弈</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浙江农林大学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S09-02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储粮主要害虫增强型引诱剂开发与应用</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魏洪杨</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浙江农林大学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S10-01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去芽揭示初生生长对急尖长苞冷杉木质部发育的调控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柳江琴</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S10-02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气孔形态与蓝光敏感性对亚热带常见树种光合诱导的影响</w:t>
            </w:r>
          </w:p>
        </w:tc>
        <w:tc>
          <w:tcPr>
            <w:tcW w:w="975" w:type="dxa"/>
            <w:tcBorders>
              <w:top w:val="nil"/>
              <w:left w:val="nil"/>
              <w:bottom w:val="single" w:sz="4" w:space="0" w:color="000000"/>
              <w:right w:val="single" w:sz="4" w:space="0" w:color="000000"/>
            </w:tcBorders>
            <w:shd w:val="clear" w:color="000000" w:fill="FFFFFF"/>
            <w:vAlign w:val="center"/>
            <w:hideMark/>
          </w:tcPr>
          <w:p w:rsidR="00756663"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钟石</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英澜</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福建师范大学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S10-03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增温与干旱对 3 种亚热带树种叶片光吸收率的影响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谢小玲</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福建师范大学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S10-04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C</w:t>
            </w:r>
            <w:r w:rsidRPr="00523C23">
              <w:rPr>
                <w:rFonts w:ascii="Times New Roman" w:hAnsi="Times New Roman" w:cs="Times New Roman"/>
                <w:color w:val="000000"/>
                <w:kern w:val="0"/>
                <w:szCs w:val="21"/>
              </w:rPr>
              <w:t>₃</w:t>
            </w:r>
            <w:r w:rsidRPr="00523C23">
              <w:rPr>
                <w:rFonts w:asciiTheme="minorEastAsia" w:hAnsiTheme="minorEastAsia" w:cs="宋体" w:hint="eastAsia"/>
                <w:color w:val="000000"/>
                <w:kern w:val="0"/>
                <w:szCs w:val="21"/>
              </w:rPr>
              <w:t>与C</w:t>
            </w:r>
            <w:r w:rsidRPr="00523C23">
              <w:rPr>
                <w:rFonts w:ascii="Times New Roman" w:hAnsi="Times New Roman" w:cs="Times New Roman"/>
                <w:color w:val="000000"/>
                <w:kern w:val="0"/>
                <w:szCs w:val="21"/>
              </w:rPr>
              <w:t>₄</w:t>
            </w:r>
            <w:r w:rsidRPr="00523C23">
              <w:rPr>
                <w:rFonts w:asciiTheme="minorEastAsia" w:hAnsiTheme="minorEastAsia" w:cs="宋体" w:hint="eastAsia"/>
                <w:color w:val="000000"/>
                <w:kern w:val="0"/>
                <w:szCs w:val="21"/>
              </w:rPr>
              <w:t>植物气孔形态及光响应差异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王顾言</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S10-05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持续昼夜非对称增温重塑温带阔叶树叶物候调控机制——从温度驱动转向遗留效应与水分调控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韩冰鑫</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东北林业大学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S11-01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不同类型微塑料对黄顶菊与碱蓬种间竞争及生物多样性效应的影响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黄丹娜</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天津师范大学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S11-02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环境相关浓度双氯芬酸暴露对大型溞的代际生态毒性效应研究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赵伟岐</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暨南大学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S12-01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Microbial ecology of plastic biofilms and harmful biota in coastal ecosystems</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Linus Lo</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The Education University of Hong Kong</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S12-02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不同网络视角下关键根系分泌代谢物的识别差异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周子童</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兰州大学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S13-01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基于层次分析法与聚类分析的米林市杜鹃花属植物资源综合评价</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马智远</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西藏农牧大学高原生态研究所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S14-01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夜间灯光对不同光耐受性城市鸟类栖息地的差异化影响</w:t>
            </w:r>
            <w:r w:rsidR="00756663">
              <w:rPr>
                <w:rFonts w:asciiTheme="minorEastAsia" w:hAnsiTheme="minorEastAsia" w:cs="宋体" w:hint="eastAsia"/>
                <w:color w:val="000000"/>
                <w:kern w:val="0"/>
                <w:szCs w:val="21"/>
              </w:rPr>
              <w:t>——</w:t>
            </w:r>
            <w:r w:rsidRPr="00523C23">
              <w:rPr>
                <w:rFonts w:asciiTheme="minorEastAsia" w:hAnsiTheme="minorEastAsia" w:cs="宋体" w:hint="eastAsia"/>
                <w:color w:val="000000"/>
                <w:kern w:val="0"/>
                <w:szCs w:val="21"/>
              </w:rPr>
              <w:t>以北京市为例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段美玲</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S16-01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分析生物圈行星边界内全球净初级生产力利用的经济效率</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李尧</w:t>
            </w:r>
          </w:p>
        </w:tc>
        <w:tc>
          <w:tcPr>
            <w:tcW w:w="0" w:type="auto"/>
            <w:tcBorders>
              <w:top w:val="nil"/>
              <w:left w:val="nil"/>
              <w:bottom w:val="single" w:sz="4" w:space="0" w:color="000000"/>
              <w:right w:val="single" w:sz="4" w:space="0" w:color="000000"/>
            </w:tcBorders>
            <w:shd w:val="clear" w:color="000000" w:fill="FFFFFF"/>
            <w:vAlign w:val="center"/>
            <w:hideMark/>
          </w:tcPr>
          <w:p w:rsidR="00756663"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中国科学院</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不同秸秆还田方式对宁夏引黄灌区灌淤土土壤质量及玉米功能性状的影响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周婧蕾</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S17-02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增密减氮对玉米冠层光氮利用效率对籽粒建成的调控机理</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冯盈盈</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广西大学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不同秸秆还田量对土壤N</w:t>
            </w:r>
            <w:r w:rsidRPr="00523C23">
              <w:rPr>
                <w:rFonts w:asciiTheme="minorEastAsia" w:hAnsiTheme="minorEastAsia" w:cs="宋体" w:hint="eastAsia"/>
                <w:color w:val="000000"/>
                <w:kern w:val="0"/>
                <w:szCs w:val="21"/>
                <w:vertAlign w:val="subscript"/>
              </w:rPr>
              <w:t>2</w:t>
            </w:r>
            <w:r w:rsidRPr="00523C23">
              <w:rPr>
                <w:rFonts w:asciiTheme="minorEastAsia" w:hAnsiTheme="minorEastAsia" w:cs="宋体" w:hint="eastAsia"/>
                <w:color w:val="000000"/>
                <w:kern w:val="0"/>
                <w:szCs w:val="21"/>
              </w:rPr>
              <w:t>O排放影响的微生物机制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王一凡</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集约化农业管理措施驱动的土壤抗生素时间动态变化研究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杨恺丰</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Altitude, agricultural disturbance intensity, soil biotic and abiotic factors jointly affect soil multifunctionality in mountain farmlands</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王元膵</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贵州大学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Urbanization-induced cropland intensification and fragmentation result in threshold responses in soil antibiotic contamination</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沈琳钧</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S17-07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统一还田目标下由还田历史决定的玉米秸秆不同增量梯度对土壤多功能性的影响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霍真</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石河子大学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S18-01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微塑料对滨海盐碱湿地种子库萌发群落的影响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马力</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天津师范大学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S19-01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赤水河（云南段）大型底栖动物群落时空格局及其环境驱动要素研究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张建慧</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S19-02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基于时间依赖的入侵性—入侵能力协同框架：群落完整性、组装规则转变与 r–策略性状的关联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程馨雨</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西双版纳热带森林橡胶林转换对土壤微生物群落结构与功能的影响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徐汝悦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云南省热带作物科学研究所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半干旱温带森林不同生活型植物叶片性状和碳分配的季节动态和驱动路径</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王凯悦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微团聚体作为真菌养分库驱动落叶松人工林自然更新</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林一萍</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南开大学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化学计量稳态驱动亚热带马尾松林中的土壤有机碳固存：林分年龄和林分类型的影响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王浩</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广西师范大学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喀斯特天坑不同微生境下土壤植硅体碳累积特征及其环境影响因素</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王依婷</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广西师范大学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遗留效应塑造原生与次生生态系统中的土壤微生物演替</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赵静</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河北大学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全球森林演替增加土壤有机碳，但可能降低其稳定性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郭浩杰</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河北大学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S22-08</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凋落物不同有机物形式对土壤酶活性的影响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杨开军</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中国科学院华南植物园</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S22-09</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两种菌根类型树种混交改变桉树人工林土壤养分化学计量及微生物养分获取策略</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陈静文</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广西科学院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S23-01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海南岛植被碳利用效率时空变化及其影响因素分析</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岳笑</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海南省气象科学研究所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S25-01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功能型生物炭对四环素的吸附性能及植物修复效应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张凯悦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中国科学院西北生态环境资源研究院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S27-01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Reorganization of phenological time allocation reveals seasonal carbon–phenology coordination</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张裕</w:t>
            </w:r>
          </w:p>
        </w:tc>
        <w:tc>
          <w:tcPr>
            <w:tcW w:w="0" w:type="auto"/>
            <w:tcBorders>
              <w:top w:val="nil"/>
              <w:left w:val="nil"/>
              <w:bottom w:val="single" w:sz="4" w:space="0" w:color="000000"/>
              <w:right w:val="single" w:sz="4" w:space="0" w:color="000000"/>
            </w:tcBorders>
            <w:shd w:val="clear" w:color="000000" w:fill="FFFFFF"/>
            <w:vAlign w:val="center"/>
            <w:hideMark/>
          </w:tcPr>
          <w:p w:rsidR="005E4030"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中国科学院</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东北林区植被和生态系统服务功能对极端气候的响应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王宇凡</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黑龙江省生态与农业气象</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跨越气候阈值削弱高纬度森林的碳储存潜力</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谭传巧</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东北林业大学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氮磷添加下中型土壤动物对马尾松凋落物分解的影响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康正莉</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贵州大学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复合气候极端事件频率的增加导致北方生态系统春季物候推迟</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王语秋</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湖南师范大学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地理背景重塑中国森林干旱响应的驱动关系</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章慧青</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S27-07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基于无人机激光雷达的小叶杨枯梢率估算</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蔡心卓</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S28-01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天津东部海域鸟类多样性的时空格局及其对环境因子的响应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邵明阳</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天津师范大学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S29-01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中国北方地区植被绿度和光合物候时空变化及气候响应差异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孙霄临</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陇东学院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S29-02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吉林省沿边开放旅游大通道生态环境质量时空演变及驱动因素</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韦立</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东北林业大学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S29-03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森林火灾遥感监测的敏感指数筛选与组合检测方法</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熊命富</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北京林业大学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S31-01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空间流动视角下黄土高原与水相关的自然对人类的贡献评估与预测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韩宇</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清华大学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S32-01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High coupling but low coordination: Climate–vegetation interactions on the Chinese Loess Plateau under rapid greening</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陈静书</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山东工商学院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S32-02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东南丘陵区生态系统服务供需时空变化及其对生态保护修复管理的启示</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张骁</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自然资源部国土整治中心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S32-03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四川省蛱蝶科蝶类名录及分布</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张祎昕</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兰州大学生</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S33-01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珍稀濒危植物崖柏野外回归过程中的多层级适应机制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苏晓磊</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S34-01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竞争与防御可塑性的演化驱动了美洲商陆的入侵成功</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张邦裕</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S34-02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云南麻栗坡典型入侵植物沿海拔梯度入侵的机制研究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381F49">
              <w:rPr>
                <w:rFonts w:asciiTheme="minorEastAsia" w:hAnsiTheme="minorEastAsia" w:cs="宋体" w:hint="eastAsia"/>
                <w:color w:val="000000"/>
                <w:kern w:val="0"/>
                <w:szCs w:val="21"/>
              </w:rPr>
              <w:t>程雯慧</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Soil respiration responses to carbon additions in alpine meadows vary with grazing intensity</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刘若琪</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黄河源典型流域内高寒草甸生物量空间分布及其对退化斑块恢复演替的响应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李鑫慧</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模拟降水增减对青海扁茎早熟禾人工草地土壤微生物群落结构与多样性的影响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高一帆</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S35-04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燕麦沙障对高寒沙地土壤微生物生物量碳氮磷化学计量特征的影响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郭玉欣</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降水变化对早熟禾人工草地土壤微生物碳氮磷化学计量特征和相关酶活性的影响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宋荣旭</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8个燕麦品种在三江源生态区综合评价</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何丽丽</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青海扁茎早熟禾地下芽发育动态过程的形态与解剖学研究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王焜</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S35-08</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外源碳氮配施驱动青藏高原退化高寒草地矿物结合态有机碳积累</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郑文贤</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S35-09</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青藏高原东北部高寒草甸植被结构类型及其空间格局的无人机遥感研究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沈永基</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西北农林科技大学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S35-10</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退化程度与斑块类型对高寒草甸免耕补播效果的影响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袁颖</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放牧对木里矿区人工草地稳定性的影响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常佳丽</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D4F8F"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高寒草地植物多样性和牧草品质驱动的牦牛粪细菌和真菌群落季节动态差异</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赵以龙</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高寒草甸不同恢复阶段土壤结构与持水性的变化特征及其与根系的关系</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窦嘉宁</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不同浓度氮添加对苔藓植物的影响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雷雨绮</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西藏农牧大学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Effects of Nitrogen and Phosphorus Addition on Soil Respiration in Cultivated Grasslands of the Sanjiangyuan Region</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刘和</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S35-16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Effects of Alpine Meadow Degradation on Rhizosphere Soil Properties, Root Exudates, and Bacterial Communities</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周刚刚</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青海大学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干旱区山地荒漠草原微生物代谢策略的环境适应性</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骆欣怡</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宁夏大学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养分添加对草地植物系统发育多样性和群落结构的影响</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高亚</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中山大学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Nitrogen input in wetlands: C/N stoichiometric shifts and enhanced ecosystem productivity worldwide</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陆学岩</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D4F8F"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长期放牧强度重塑内蒙古典型草原植物群落组成与组装的时间动态</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卓茜岚</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S36-05</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蒙古高原气候梯度下主要草原类型及其对放牧的响应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俄日纳</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S36-06</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Effects of Different Grazing Intensities on Soil Multifunctionality in Desert Steppe</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马鑫慧</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S36-07</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不同放牧强度下荒漠草原土壤养分特征的变化</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张源峰</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lastRenderedPageBreak/>
              <w:t>S36-08</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四个草本物种细根分泌物通量的季节动态</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艾克达·阿布拉</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兰州大学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S36-09</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外源碳添加量化植物根际效应“以碳易氮”的效率</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李文琪</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兰州大学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S36-10</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Effects of variations in surface characteristics of desert steppe soil during the growing season under different stocking rates on wind erosion</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李新宁</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S36-11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细根性状而非种内变异与可塑性驱动长期养分富集下的物种得失</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王靖靖</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兰州大学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S36-12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不同放牧强度对短花针茅荒漠草原土壤酶活性的影响及其驱动因素</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薛逸凡</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内蒙古农业</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S36-13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内蒙古主要草原类型植物解磷能力及其对放牧的响应</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王珍妮</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内蒙古大学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S38-01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多尺度气候驱动下云南森林火灾的时空格局与响应机制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孙启发</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楚雄师范学院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S38-02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藏东南海拔梯度下火后高山松幼苗更新与其主要功能性状权衡</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高荣光</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西藏农牧大学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S38-03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不同火烈度下土壤残留种子库β多样性周转与嵌套组分随土层深度的垂直反转——以小陇山温带针叶人工林火烧迹地为例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楼东钊</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甘肃农业大学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S41-01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三江源地区自然对人类贡献的时空格局演变及驱动因素研究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成钰</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中国科学院生态环境研究</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S42-01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伽师瓜全生育期气象适宜阈值及主要灾害风险等级研究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李锦虎</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莎车县气象局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S42-02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中国气象局东北地区生态与农业气象野外科学试验基地</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温日红</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中国气象局沈阳大气环境</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研究所</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S42-03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模拟增雨下内蒙古草原优势植物功能性状与生理响应机制研究</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赵瑞婷</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中国环境科学研究院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S42-04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基于热害的福建省福鼎市茶园碳汇损失风险区划</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毛颖</w:t>
            </w:r>
          </w:p>
        </w:tc>
        <w:tc>
          <w:tcPr>
            <w:tcW w:w="0" w:type="auto"/>
            <w:tcBorders>
              <w:top w:val="nil"/>
              <w:left w:val="nil"/>
              <w:bottom w:val="single" w:sz="4" w:space="0" w:color="000000"/>
              <w:right w:val="single" w:sz="4" w:space="0" w:color="000000"/>
            </w:tcBorders>
            <w:shd w:val="clear" w:color="000000" w:fill="FFFFFF"/>
            <w:vAlign w:val="center"/>
            <w:hideMark/>
          </w:tcPr>
          <w:p w:rsidR="005D4F8F" w:rsidRDefault="00523C23" w:rsidP="00381F49">
            <w:pPr>
              <w:widowControl/>
              <w:jc w:val="center"/>
              <w:rPr>
                <w:rFonts w:asciiTheme="minorEastAsia" w:hAnsiTheme="minorEastAsia" w:cs="宋体"/>
                <w:color w:val="000000"/>
                <w:kern w:val="0"/>
                <w:szCs w:val="21"/>
              </w:rPr>
            </w:pPr>
            <w:r w:rsidRPr="00523C23">
              <w:rPr>
                <w:rFonts w:asciiTheme="minorEastAsia" w:hAnsiTheme="minorEastAsia" w:cs="宋体" w:hint="eastAsia"/>
                <w:color w:val="000000"/>
                <w:kern w:val="0"/>
                <w:szCs w:val="21"/>
              </w:rPr>
              <w:t>福建省气候</w:t>
            </w:r>
          </w:p>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S45-01</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城市减污降碳扩绿协同增效评价与协调诊断——以湖州市为例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申恋绵</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中国科学院大学生态环境</w:t>
            </w:r>
            <w:bookmarkStart w:id="0" w:name="_GoBack"/>
            <w:bookmarkEnd w:id="0"/>
            <w:r w:rsidRPr="00523C23">
              <w:rPr>
                <w:rFonts w:asciiTheme="minorEastAsia" w:hAnsiTheme="minorEastAsia" w:cs="宋体" w:hint="eastAsia"/>
                <w:color w:val="000000"/>
                <w:kern w:val="0"/>
                <w:szCs w:val="21"/>
              </w:rPr>
              <w:t>研究中心</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S45-02</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基于环境DNA技术解析大清河流域鱼类群落季节演替特征及空间响应规律</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张杰</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北京市水科学技术研究院</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S45-03</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三生空间动态信息对京津冀城市群可持续转型中空间功能重构路径的揭示</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刘斌</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D4F8F">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北京大学</w:t>
            </w:r>
          </w:p>
        </w:tc>
      </w:tr>
      <w:tr w:rsidR="00381F49" w:rsidRPr="00523C23" w:rsidTr="00381F49">
        <w:trPr>
          <w:trHeight w:val="600"/>
        </w:trPr>
        <w:tc>
          <w:tcPr>
            <w:tcW w:w="993" w:type="dxa"/>
            <w:tcBorders>
              <w:top w:val="nil"/>
              <w:left w:val="single" w:sz="4" w:space="0" w:color="000000"/>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S45-04</w:t>
            </w:r>
          </w:p>
        </w:tc>
        <w:tc>
          <w:tcPr>
            <w:tcW w:w="4677"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523C23">
            <w:pPr>
              <w:widowControl/>
              <w:jc w:val="left"/>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元阳哈尼梯田撂荒的时空演变与分布特征</w:t>
            </w:r>
          </w:p>
        </w:tc>
        <w:tc>
          <w:tcPr>
            <w:tcW w:w="975" w:type="dxa"/>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董毅</w:t>
            </w:r>
          </w:p>
        </w:tc>
        <w:tc>
          <w:tcPr>
            <w:tcW w:w="0" w:type="auto"/>
            <w:tcBorders>
              <w:top w:val="nil"/>
              <w:left w:val="nil"/>
              <w:bottom w:val="single" w:sz="4" w:space="0" w:color="000000"/>
              <w:right w:val="single" w:sz="4" w:space="0" w:color="000000"/>
            </w:tcBorders>
            <w:shd w:val="clear" w:color="000000" w:fill="FFFFFF"/>
            <w:vAlign w:val="center"/>
            <w:hideMark/>
          </w:tcPr>
          <w:p w:rsidR="00523C23" w:rsidRPr="00523C23" w:rsidRDefault="00523C23" w:rsidP="00381F49">
            <w:pPr>
              <w:widowControl/>
              <w:jc w:val="center"/>
              <w:rPr>
                <w:rFonts w:asciiTheme="minorEastAsia" w:hAnsiTheme="minorEastAsia" w:cs="宋体" w:hint="eastAsia"/>
                <w:color w:val="000000"/>
                <w:kern w:val="0"/>
                <w:szCs w:val="21"/>
              </w:rPr>
            </w:pPr>
            <w:r w:rsidRPr="00523C23">
              <w:rPr>
                <w:rFonts w:asciiTheme="minorEastAsia" w:hAnsiTheme="minorEastAsia" w:cs="宋体" w:hint="eastAsia"/>
                <w:color w:val="000000"/>
                <w:kern w:val="0"/>
                <w:szCs w:val="21"/>
              </w:rPr>
              <w:t>云南大学</w:t>
            </w:r>
          </w:p>
        </w:tc>
      </w:tr>
    </w:tbl>
    <w:p w:rsidR="00523C23" w:rsidRDefault="00523C23">
      <w:pPr>
        <w:rPr>
          <w:rFonts w:hint="eastAsia"/>
        </w:rPr>
      </w:pPr>
    </w:p>
    <w:sectPr w:rsidR="00523C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E5C" w:rsidRDefault="00893E5C" w:rsidP="00523C23">
      <w:r>
        <w:separator/>
      </w:r>
    </w:p>
  </w:endnote>
  <w:endnote w:type="continuationSeparator" w:id="0">
    <w:p w:rsidR="00893E5C" w:rsidRDefault="00893E5C" w:rsidP="0052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E5C" w:rsidRDefault="00893E5C" w:rsidP="00523C23">
      <w:r>
        <w:separator/>
      </w:r>
    </w:p>
  </w:footnote>
  <w:footnote w:type="continuationSeparator" w:id="0">
    <w:p w:rsidR="00893E5C" w:rsidRDefault="00893E5C" w:rsidP="00523C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FD9"/>
    <w:rsid w:val="00381F49"/>
    <w:rsid w:val="00523C23"/>
    <w:rsid w:val="005D4F8F"/>
    <w:rsid w:val="005E4030"/>
    <w:rsid w:val="00741B71"/>
    <w:rsid w:val="00756663"/>
    <w:rsid w:val="00893E5C"/>
    <w:rsid w:val="00B60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4DF33"/>
  <w15:chartTrackingRefBased/>
  <w15:docId w15:val="{01B09F72-6BF9-4A5A-BBF4-6274DDBA3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523C2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3C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23C23"/>
    <w:rPr>
      <w:sz w:val="18"/>
      <w:szCs w:val="18"/>
    </w:rPr>
  </w:style>
  <w:style w:type="paragraph" w:styleId="a5">
    <w:name w:val="footer"/>
    <w:basedOn w:val="a"/>
    <w:link w:val="a6"/>
    <w:uiPriority w:val="99"/>
    <w:unhideWhenUsed/>
    <w:rsid w:val="00523C23"/>
    <w:pPr>
      <w:tabs>
        <w:tab w:val="center" w:pos="4153"/>
        <w:tab w:val="right" w:pos="8306"/>
      </w:tabs>
      <w:snapToGrid w:val="0"/>
      <w:jc w:val="left"/>
    </w:pPr>
    <w:rPr>
      <w:sz w:val="18"/>
      <w:szCs w:val="18"/>
    </w:rPr>
  </w:style>
  <w:style w:type="character" w:customStyle="1" w:styleId="a6">
    <w:name w:val="页脚 字符"/>
    <w:basedOn w:val="a0"/>
    <w:link w:val="a5"/>
    <w:uiPriority w:val="99"/>
    <w:rsid w:val="00523C23"/>
    <w:rPr>
      <w:sz w:val="18"/>
      <w:szCs w:val="18"/>
    </w:rPr>
  </w:style>
  <w:style w:type="character" w:customStyle="1" w:styleId="10">
    <w:name w:val="标题 1 字符"/>
    <w:basedOn w:val="a0"/>
    <w:link w:val="1"/>
    <w:uiPriority w:val="9"/>
    <w:rsid w:val="00523C2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7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8</cp:revision>
  <dcterms:created xsi:type="dcterms:W3CDTF">2026-09-16T09:29:00Z</dcterms:created>
  <dcterms:modified xsi:type="dcterms:W3CDTF">2026-09-16T09:47:00Z</dcterms:modified>
</cp:coreProperties>
</file>